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after="0" w:line="480" w:lineRule="auto"/>
        <w:jc w:val="both"/>
      </w:pPr>
      <w:r>
        <w:rPr>
          <w:rFonts w:ascii="Times New Roman" w:hAnsi="Times New Roman"/>
          <w:color w:val="000000"/>
          <w:sz w:val="24"/>
          <w:szCs w:val="24"/>
          <w:u w:color="000000"/>
          <w:rtl w:val="0"/>
          <w:lang w:val="en-US"/>
        </w:rPr>
        <w:t>Name:</w:t>
      </w:r>
    </w:p>
    <w:p>
      <w:pPr>
        <w:pStyle w:val="Normal.0"/>
        <w:spacing w:after="0" w:line="480" w:lineRule="auto"/>
        <w:jc w:val="both"/>
      </w:pPr>
      <w:r>
        <w:rPr>
          <w:rFonts w:ascii="Times New Roman" w:hAnsi="Times New Roman"/>
          <w:color w:val="000000"/>
          <w:sz w:val="24"/>
          <w:szCs w:val="24"/>
          <w:u w:color="000000"/>
          <w:rtl w:val="0"/>
          <w:lang w:val="en-US"/>
        </w:rPr>
        <w:t>Instructor:</w:t>
      </w:r>
    </w:p>
    <w:p>
      <w:pPr>
        <w:pStyle w:val="Normal.0"/>
        <w:spacing w:after="0" w:line="480" w:lineRule="auto"/>
        <w:jc w:val="both"/>
      </w:pPr>
      <w:r>
        <w:rPr>
          <w:rFonts w:ascii="Times New Roman" w:hAnsi="Times New Roman"/>
          <w:color w:val="000000"/>
          <w:sz w:val="24"/>
          <w:szCs w:val="24"/>
          <w:u w:color="000000"/>
          <w:rtl w:val="0"/>
          <w:lang w:val="en-US"/>
        </w:rPr>
        <w:t>Course:</w:t>
      </w:r>
    </w:p>
    <w:p>
      <w:pPr>
        <w:pStyle w:val="Normal.0"/>
        <w:spacing w:after="0" w:line="480" w:lineRule="auto"/>
        <w:jc w:val="both"/>
      </w:pPr>
      <w:r>
        <w:rPr>
          <w:rFonts w:ascii="Times New Roman" w:hAnsi="Times New Roman"/>
          <w:color w:val="000000"/>
          <w:sz w:val="24"/>
          <w:szCs w:val="24"/>
          <w:u w:color="000000"/>
          <w:rtl w:val="0"/>
          <w:lang w:val="en-US"/>
        </w:rPr>
        <w:t>Date:</w:t>
      </w:r>
    </w:p>
    <w:p>
      <w:pPr>
        <w:pStyle w:val="Normal.0"/>
        <w:spacing w:after="0" w:line="480" w:lineRule="auto"/>
        <w:jc w:val="center"/>
      </w:pPr>
      <w:r>
        <w:rPr>
          <w:rFonts w:ascii="Times New Roman" w:hAnsi="Times New Roman"/>
          <w:color w:val="000000"/>
          <w:sz w:val="24"/>
          <w:szCs w:val="24"/>
          <w:u w:color="000000"/>
          <w:rtl w:val="0"/>
          <w:lang w:val="en-US"/>
        </w:rPr>
        <w:t>Case Study: Progeria</w:t>
      </w:r>
    </w:p>
    <w:p>
      <w:pPr>
        <w:pStyle w:val="Normal.0"/>
        <w:spacing w:after="0" w:line="480" w:lineRule="auto"/>
        <w:ind w:firstLine="72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  Progeria is a rare genetic disorder that usually manifests itself during the first years of life and is defined by a set of symptoms that resemble premature aging. The name of the condition derives from the Greek word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pro</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meaning something premature and word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geras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meaning old age. Children affected by progeria develop certain changes in facial appearance. Newborns with the condition appear normal with no diagnosable sings. However, within typically a year their speed of growth decelerates, and other symptoms come into force. This paper will describe and explain progeria with emphasis on research on its treatment</w:t>
      </w:r>
      <w:r>
        <w:rPr>
          <w:rFonts w:ascii="Times New Roman" w:hAnsi="Times New Roman"/>
          <w:color w:val="000000"/>
          <w:sz w:val="24"/>
          <w:szCs w:val="24"/>
          <w:u w:color="000000"/>
          <w:rtl w:val="0"/>
          <w:lang w:val="en-US"/>
        </w:rPr>
        <w:t>.</w:t>
      </w:r>
    </w:p>
    <w:p>
      <w:pPr>
        <w:pStyle w:val="Normal.0"/>
        <w:spacing w:after="0" w:line="480" w:lineRule="auto"/>
        <w:ind w:firstLine="72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The disorder was first observed and described by doctors Jonathan Hutchinson and Hastings Gilford in 1886 in England. The condition was named Hutchinson-Gilford Progeria Syndrome after the doctors who described it (Ghosh &amp; Zhou 41-46). Since the extremely rare rate of occurrence and lack of scientific data there was no progress in understanding the nature of progeria since the majority of the 20th century. The first round of research on progeria began in the 1990s. The first major discovery regarding the etiology of progeria was made in 2003 when a mutation in genes that were associated with the condition was observed and reported (Eriksson et al. 293-298). </w:t>
      </w:r>
    </w:p>
    <w:p>
      <w:pPr>
        <w:pStyle w:val="Normal.0"/>
        <w:spacing w:after="0" w:line="480" w:lineRule="auto"/>
        <w:ind w:firstLine="72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The occurrence of the condition is extremely rare; it is estimated that only 1 in 4 million is affected worldwide. There are approximately 350 children with progeria in the world at any time (Ghosh &amp; Zhou 41-46). No racial or sex disparity has been proved for progeria. The scientific literature holds the record for more than 130 cases of progeria since it was first described. </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Progeria have not been reported to affect siblings or relatives of the affected individuals. The condition is an autosomal dominant with spontaneous point mutations occurring during embryonic development </w:t>
      </w:r>
      <w:r>
        <w:rPr>
          <w:rFonts w:ascii="Times New Roman" w:hAnsi="Times New Roman"/>
          <w:outline w:val="0"/>
          <w:color w:val="000000"/>
          <w:spacing w:val="0"/>
          <w:kern w:val="1"/>
          <w:sz w:val="24"/>
          <w:szCs w:val="24"/>
          <w:u w:color="000000"/>
          <w:rtl w:val="0"/>
          <w:lang w:val="en-US"/>
        </w:rPr>
        <w:t>(Pollex &amp; Hegele 375-381)</w:t>
      </w:r>
      <w:r>
        <w:rPr>
          <w:rFonts w:ascii="Times New Roman" w:hAnsi="Times New Roman"/>
          <w:color w:val="000000"/>
          <w:sz w:val="24"/>
          <w:szCs w:val="24"/>
          <w:u w:color="000000"/>
          <w:rtl w:val="0"/>
          <w:lang w:val="en-US"/>
        </w:rPr>
        <w:t xml:space="preserve">. One copy of the mutated gene LMNA is enough to cause progeria. </w:t>
      </w:r>
    </w:p>
    <w:p>
      <w:pPr>
        <w:pStyle w:val="Normal.0"/>
        <w:spacing w:after="0" w:line="480" w:lineRule="auto"/>
        <w:jc w:val="both"/>
      </w:pPr>
      <w:r>
        <w:rPr>
          <w:rFonts w:ascii="Times New Roman" w:hAnsi="Times New Roman"/>
          <w:b w:val="1"/>
          <w:bCs w:val="1"/>
          <w:color w:val="000000"/>
          <w:sz w:val="24"/>
          <w:szCs w:val="24"/>
          <w:u w:color="000000"/>
          <w:rtl w:val="0"/>
          <w:lang w:val="en-US"/>
        </w:rPr>
        <w:t>Symptoms</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Progeria has several characteristic symptoms that are associated with the genetic etiology of the condition </w:t>
      </w:r>
      <w:r>
        <w:rPr>
          <w:rFonts w:ascii="Times New Roman" w:hAnsi="Times New Roman"/>
          <w:outline w:val="0"/>
          <w:color w:val="000000"/>
          <w:spacing w:val="0"/>
          <w:kern w:val="1"/>
          <w:sz w:val="24"/>
          <w:szCs w:val="24"/>
          <w:u w:color="000000"/>
          <w:rtl w:val="0"/>
          <w:lang w:val="en-US"/>
        </w:rPr>
        <w:t>(Pollex &amp; Hegele 375-381)</w:t>
      </w:r>
      <w:r>
        <w:rPr>
          <w:rFonts w:ascii="Times New Roman" w:hAnsi="Times New Roman"/>
          <w:color w:val="000000"/>
          <w:sz w:val="24"/>
          <w:szCs w:val="24"/>
          <w:u w:color="000000"/>
          <w:rtl w:val="0"/>
          <w:lang w:val="en-US"/>
        </w:rPr>
        <w:t>. Symptoms of progeria can be divided into several categories depending on the systems they affect:</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Growth:</w:t>
      </w:r>
    </w:p>
    <w:p>
      <w:pPr>
        <w:pStyle w:val="Normal.0"/>
        <w:numPr>
          <w:ilvl w:val="0"/>
          <w:numId w:val="2"/>
        </w:numPr>
        <w:spacing w:after="0" w:line="480" w:lineRule="auto"/>
        <w:jc w:val="both"/>
        <w:rPr>
          <w:sz w:val="24"/>
          <w:szCs w:val="24"/>
          <w:lang w:val="en-US"/>
        </w:rPr>
      </w:pPr>
      <w:r>
        <w:rPr>
          <w:rFonts w:ascii="Times New Roman" w:hAnsi="Times New Roman"/>
          <w:color w:val="000000"/>
          <w:sz w:val="24"/>
          <w:szCs w:val="24"/>
          <w:u w:color="000000"/>
          <w:rtl w:val="0"/>
          <w:lang w:val="en-US"/>
        </w:rPr>
        <w:t>Noticeably short stature that remains lifelong</w:t>
      </w:r>
    </w:p>
    <w:p>
      <w:pPr>
        <w:pStyle w:val="Normal.0"/>
        <w:numPr>
          <w:ilvl w:val="0"/>
          <w:numId w:val="2"/>
        </w:numPr>
        <w:spacing w:after="0" w:line="480" w:lineRule="auto"/>
        <w:jc w:val="both"/>
        <w:rPr>
          <w:sz w:val="24"/>
          <w:szCs w:val="24"/>
          <w:lang w:val="en-US"/>
        </w:rPr>
      </w:pPr>
      <w:r>
        <w:rPr>
          <w:rFonts w:ascii="Times New Roman" w:hAnsi="Times New Roman"/>
          <w:color w:val="000000"/>
          <w:sz w:val="24"/>
          <w:szCs w:val="24"/>
          <w:u w:color="000000"/>
          <w:rtl w:val="0"/>
          <w:lang w:val="en-US"/>
        </w:rPr>
        <w:t>Low weight and failure to thrive</w:t>
      </w:r>
    </w:p>
    <w:p>
      <w:pPr>
        <w:pStyle w:val="Normal.0"/>
        <w:numPr>
          <w:ilvl w:val="0"/>
          <w:numId w:val="2"/>
        </w:numPr>
        <w:spacing w:after="0" w:line="480" w:lineRule="auto"/>
        <w:jc w:val="both"/>
        <w:rPr>
          <w:sz w:val="24"/>
          <w:szCs w:val="24"/>
          <w:lang w:val="en-US"/>
        </w:rPr>
      </w:pPr>
      <w:r>
        <w:rPr>
          <w:rFonts w:ascii="Times New Roman" w:hAnsi="Times New Roman"/>
          <w:color w:val="000000"/>
          <w:sz w:val="24"/>
          <w:szCs w:val="24"/>
          <w:u w:color="000000"/>
          <w:rtl w:val="0"/>
          <w:lang w:val="en-US"/>
        </w:rPr>
        <w:t>Disproportionally large head when comparing to face</w:t>
      </w:r>
    </w:p>
    <w:p>
      <w:pPr>
        <w:pStyle w:val="Normal.0"/>
        <w:numPr>
          <w:ilvl w:val="0"/>
          <w:numId w:val="2"/>
        </w:numPr>
        <w:spacing w:after="0" w:line="480" w:lineRule="auto"/>
        <w:jc w:val="both"/>
        <w:rPr>
          <w:sz w:val="24"/>
          <w:szCs w:val="24"/>
          <w:lang w:val="en-US"/>
        </w:rPr>
      </w:pPr>
      <w:r>
        <w:rPr>
          <w:rFonts w:ascii="Times New Roman" w:hAnsi="Times New Roman"/>
          <w:color w:val="000000"/>
          <w:sz w:val="24"/>
          <w:szCs w:val="24"/>
          <w:u w:color="000000"/>
          <w:rtl w:val="0"/>
          <w:lang w:val="en-US"/>
        </w:rPr>
        <w:t>Hight pitched voice</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Globally diminished subcutaneous fat that results in following sings:</w:t>
      </w:r>
    </w:p>
    <w:p>
      <w:pPr>
        <w:pStyle w:val="Normal.0"/>
        <w:numPr>
          <w:ilvl w:val="0"/>
          <w:numId w:val="4"/>
        </w:numPr>
        <w:spacing w:after="0" w:line="480" w:lineRule="auto"/>
        <w:jc w:val="both"/>
        <w:rPr>
          <w:sz w:val="24"/>
          <w:szCs w:val="24"/>
          <w:lang w:val="en-US"/>
        </w:rPr>
      </w:pPr>
      <w:r>
        <w:rPr>
          <w:rFonts w:ascii="Times New Roman" w:hAnsi="Times New Roman"/>
          <w:color w:val="000000"/>
          <w:sz w:val="24"/>
          <w:szCs w:val="24"/>
          <w:u w:color="000000"/>
          <w:rtl w:val="0"/>
          <w:lang w:val="en-US"/>
        </w:rPr>
        <w:t>Prominent veins that can be seen on most of the body</w:t>
      </w:r>
    </w:p>
    <w:p>
      <w:pPr>
        <w:pStyle w:val="Normal.0"/>
        <w:numPr>
          <w:ilvl w:val="0"/>
          <w:numId w:val="4"/>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Bluish discolouration of the skin or circumora cyanosis </w:t>
      </w:r>
      <w:r>
        <w:rPr>
          <w:rFonts w:ascii="Times New Roman" w:hAnsi="Times New Roman"/>
          <w:outline w:val="0"/>
          <w:color w:val="000000"/>
          <w:spacing w:val="0"/>
          <w:kern w:val="1"/>
          <w:sz w:val="24"/>
          <w:szCs w:val="24"/>
          <w:u w:color="000000"/>
          <w:rtl w:val="0"/>
          <w:lang w:val="en-US"/>
        </w:rPr>
        <w:t>(Gordon, Brown and Collins)</w:t>
      </w:r>
    </w:p>
    <w:p>
      <w:pPr>
        <w:pStyle w:val="Normal.0"/>
        <w:numPr>
          <w:ilvl w:val="0"/>
          <w:numId w:val="4"/>
        </w:numPr>
        <w:spacing w:after="0" w:line="480" w:lineRule="auto"/>
        <w:jc w:val="both"/>
        <w:rPr>
          <w:sz w:val="24"/>
          <w:szCs w:val="24"/>
          <w:lang w:val="en-US"/>
        </w:rPr>
      </w:pPr>
      <w:r>
        <w:rPr>
          <w:rFonts w:ascii="Times New Roman" w:hAnsi="Times New Roman"/>
          <w:color w:val="000000"/>
          <w:sz w:val="24"/>
          <w:szCs w:val="24"/>
          <w:u w:color="000000"/>
          <w:rtl w:val="0"/>
          <w:lang w:val="en-US"/>
        </w:rPr>
        <w:t>In some cases, ear lobes can be absent</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A range of symptoms pertaining to hair, skin, nails, and eyes:</w:t>
      </w:r>
    </w:p>
    <w:p>
      <w:pPr>
        <w:pStyle w:val="Normal.0"/>
        <w:numPr>
          <w:ilvl w:val="0"/>
          <w:numId w:val="6"/>
        </w:numPr>
        <w:spacing w:after="0" w:line="480" w:lineRule="auto"/>
        <w:jc w:val="both"/>
        <w:rPr>
          <w:sz w:val="24"/>
          <w:szCs w:val="24"/>
          <w:lang w:val="en-US"/>
        </w:rPr>
      </w:pPr>
      <w:r>
        <w:rPr>
          <w:rFonts w:ascii="Times New Roman" w:hAnsi="Times New Roman"/>
          <w:color w:val="000000"/>
          <w:sz w:val="24"/>
          <w:szCs w:val="24"/>
          <w:u w:color="000000"/>
          <w:rtl w:val="0"/>
          <w:lang w:val="en-US"/>
        </w:rPr>
        <w:t>Variably pigmented and mostly dry skin</w:t>
      </w:r>
    </w:p>
    <w:p>
      <w:pPr>
        <w:pStyle w:val="Normal.0"/>
        <w:numPr>
          <w:ilvl w:val="0"/>
          <w:numId w:val="6"/>
        </w:numPr>
        <w:spacing w:after="0" w:line="480" w:lineRule="auto"/>
        <w:jc w:val="both"/>
        <w:rPr>
          <w:sz w:val="24"/>
          <w:szCs w:val="24"/>
          <w:lang w:val="en-US"/>
        </w:rPr>
      </w:pPr>
      <w:r>
        <w:rPr>
          <w:rFonts w:ascii="Times New Roman" w:hAnsi="Times New Roman"/>
          <w:color w:val="000000"/>
          <w:sz w:val="24"/>
          <w:szCs w:val="24"/>
          <w:u w:color="000000"/>
          <w:rtl w:val="0"/>
          <w:lang w:val="en-US"/>
        </w:rPr>
        <w:t>Loss of eyebrows</w:t>
      </w:r>
    </w:p>
    <w:p>
      <w:pPr>
        <w:pStyle w:val="Normal.0"/>
        <w:numPr>
          <w:ilvl w:val="0"/>
          <w:numId w:val="6"/>
        </w:numPr>
        <w:spacing w:after="0" w:line="480" w:lineRule="auto"/>
        <w:jc w:val="both"/>
        <w:rPr>
          <w:sz w:val="24"/>
          <w:szCs w:val="24"/>
          <w:lang w:val="en-US"/>
        </w:rPr>
      </w:pPr>
      <w:r>
        <w:rPr>
          <w:rFonts w:ascii="Times New Roman" w:hAnsi="Times New Roman"/>
          <w:color w:val="000000"/>
          <w:sz w:val="24"/>
          <w:szCs w:val="24"/>
          <w:u w:color="000000"/>
          <w:rtl w:val="0"/>
          <w:lang w:val="en-US"/>
        </w:rPr>
        <w:t>Fingernails and toenails are often dystrophic</w:t>
      </w:r>
    </w:p>
    <w:p>
      <w:pPr>
        <w:pStyle w:val="Normal.0"/>
        <w:numPr>
          <w:ilvl w:val="0"/>
          <w:numId w:val="6"/>
        </w:numPr>
        <w:spacing w:after="0" w:line="480" w:lineRule="auto"/>
        <w:jc w:val="both"/>
        <w:rPr>
          <w:sz w:val="24"/>
          <w:szCs w:val="24"/>
          <w:lang w:val="en-US"/>
        </w:rPr>
      </w:pPr>
      <w:r>
        <w:rPr>
          <w:rFonts w:ascii="Times New Roman" w:hAnsi="Times New Roman"/>
          <w:color w:val="000000"/>
          <w:sz w:val="24"/>
          <w:szCs w:val="24"/>
          <w:u w:color="000000"/>
          <w:rtl w:val="0"/>
          <w:lang w:val="en-US"/>
        </w:rPr>
        <w:t>Nocturnal lagophthalmos that is an inability to close the eye completely</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Symptoms related to skeletal system:</w:t>
      </w:r>
    </w:p>
    <w:p>
      <w:pPr>
        <w:pStyle w:val="Normal.0"/>
        <w:numPr>
          <w:ilvl w:val="0"/>
          <w:numId w:val="8"/>
        </w:numPr>
        <w:spacing w:after="0" w:line="480" w:lineRule="auto"/>
        <w:jc w:val="both"/>
        <w:rPr>
          <w:sz w:val="24"/>
          <w:szCs w:val="24"/>
          <w:lang w:val="en-US"/>
        </w:rPr>
      </w:pPr>
      <w:r>
        <w:rPr>
          <w:rFonts w:ascii="Times New Roman" w:hAnsi="Times New Roman"/>
          <w:color w:val="000000"/>
          <w:sz w:val="24"/>
          <w:szCs w:val="24"/>
          <w:u w:color="000000"/>
          <w:rtl w:val="0"/>
          <w:lang w:val="en-US"/>
        </w:rPr>
        <w:t>Pear-shaped thorax</w:t>
      </w:r>
    </w:p>
    <w:p>
      <w:pPr>
        <w:pStyle w:val="Normal.0"/>
        <w:numPr>
          <w:ilvl w:val="0"/>
          <w:numId w:val="8"/>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Nasal bridge is narrow with nasal tip often being pointed </w:t>
      </w:r>
      <w:r>
        <w:rPr>
          <w:rFonts w:ascii="Times New Roman" w:hAnsi="Times New Roman"/>
          <w:outline w:val="0"/>
          <w:color w:val="000000"/>
          <w:spacing w:val="0"/>
          <w:kern w:val="1"/>
          <w:sz w:val="24"/>
          <w:szCs w:val="24"/>
          <w:u w:color="000000"/>
          <w:rtl w:val="0"/>
          <w:lang w:val="en-US"/>
        </w:rPr>
        <w:t>(Gordon, Brown and Collins)</w:t>
      </w:r>
    </w:p>
    <w:p>
      <w:pPr>
        <w:pStyle w:val="Normal.0"/>
        <w:numPr>
          <w:ilvl w:val="0"/>
          <w:numId w:val="8"/>
        </w:numPr>
        <w:spacing w:after="0" w:line="480" w:lineRule="auto"/>
        <w:jc w:val="both"/>
        <w:rPr>
          <w:sz w:val="24"/>
          <w:szCs w:val="24"/>
          <w:lang w:val="en-US"/>
        </w:rPr>
      </w:pPr>
      <w:r>
        <w:rPr>
          <w:rFonts w:ascii="Times New Roman" w:hAnsi="Times New Roman"/>
          <w:color w:val="000000"/>
          <w:sz w:val="24"/>
          <w:szCs w:val="24"/>
          <w:u w:color="000000"/>
          <w:rtl w:val="0"/>
          <w:lang w:val="en-US"/>
        </w:rPr>
        <w:t>Low bone density is characteristic of the condition</w:t>
      </w:r>
    </w:p>
    <w:p>
      <w:pPr>
        <w:pStyle w:val="Normal.0"/>
        <w:numPr>
          <w:ilvl w:val="0"/>
          <w:numId w:val="8"/>
        </w:numPr>
        <w:spacing w:after="0" w:line="480" w:lineRule="auto"/>
        <w:jc w:val="both"/>
        <w:rPr>
          <w:sz w:val="24"/>
          <w:szCs w:val="24"/>
          <w:lang w:val="en-US"/>
        </w:rPr>
      </w:pPr>
      <w:r>
        <w:rPr>
          <w:rFonts w:ascii="Times New Roman" w:hAnsi="Times New Roman"/>
          <w:color w:val="000000"/>
          <w:sz w:val="24"/>
          <w:szCs w:val="24"/>
          <w:u w:color="000000"/>
          <w:rtl w:val="0"/>
          <w:lang w:val="en-US"/>
        </w:rPr>
        <w:t>Limbs are very thin</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Symptoms related to cardiovascular and neuromuscular systems:</w:t>
      </w:r>
    </w:p>
    <w:p>
      <w:pPr>
        <w:pStyle w:val="Normal.0"/>
        <w:numPr>
          <w:ilvl w:val="0"/>
          <w:numId w:val="10"/>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Angina, myocardial infarction, and congestive heart failure </w:t>
      </w:r>
    </w:p>
    <w:p>
      <w:pPr>
        <w:pStyle w:val="Normal.0"/>
        <w:numPr>
          <w:ilvl w:val="0"/>
          <w:numId w:val="10"/>
        </w:numPr>
        <w:spacing w:after="0" w:line="480" w:lineRule="auto"/>
        <w:jc w:val="both"/>
        <w:rPr>
          <w:sz w:val="24"/>
          <w:szCs w:val="24"/>
          <w:lang w:val="en-US"/>
        </w:rPr>
      </w:pPr>
      <w:r>
        <w:rPr>
          <w:rFonts w:ascii="Times New Roman" w:hAnsi="Times New Roman"/>
          <w:color w:val="000000"/>
          <w:sz w:val="24"/>
          <w:szCs w:val="24"/>
          <w:u w:color="000000"/>
          <w:rtl w:val="0"/>
          <w:lang w:val="en-US"/>
        </w:rPr>
        <w:t>Transient ischemic attacks and various types of strokes</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The mutation in LMNA gene is associated with syndrome and the symptoms described above. The gene in question is responsible for production of protein lamin A which is essential for determining the shape of nucleus of cells </w:t>
      </w:r>
      <w:r>
        <w:rPr>
          <w:rFonts w:ascii="Times New Roman" w:hAnsi="Times New Roman"/>
          <w:outline w:val="0"/>
          <w:color w:val="000000"/>
          <w:spacing w:val="0"/>
          <w:kern w:val="1"/>
          <w:sz w:val="24"/>
          <w:szCs w:val="24"/>
          <w:u w:color="000000"/>
          <w:rtl w:val="0"/>
          <w:lang w:val="en-US"/>
        </w:rPr>
        <w:t>(Broers 967-1008)</w:t>
      </w:r>
      <w:r>
        <w:rPr>
          <w:rFonts w:ascii="Times New Roman" w:hAnsi="Times New Roman"/>
          <w:color w:val="000000"/>
          <w:sz w:val="24"/>
          <w:szCs w:val="24"/>
          <w:u w:color="000000"/>
          <w:rtl w:val="0"/>
          <w:lang w:val="en-US"/>
        </w:rPr>
        <w:t xml:space="preserve">. The lamin A is also a component responsible for strength of nuclear envelope (Figure 1). Mutations in the gene that cause Hutchinson-Gilford progeria result in a build up of a mutated protein also called progerin </w:t>
      </w:r>
      <w:r>
        <w:rPr>
          <w:rFonts w:ascii="Times New Roman" w:hAnsi="Times New Roman"/>
          <w:outline w:val="0"/>
          <w:color w:val="000000"/>
          <w:spacing w:val="0"/>
          <w:kern w:val="1"/>
          <w:sz w:val="24"/>
          <w:szCs w:val="24"/>
          <w:u w:color="000000"/>
          <w:rtl w:val="0"/>
          <w:lang w:val="en-US"/>
        </w:rPr>
        <w:t>(Eriksson et al. 293-298)</w:t>
      </w:r>
      <w:r>
        <w:rPr>
          <w:rFonts w:ascii="Times New Roman" w:hAnsi="Times New Roman"/>
          <w:color w:val="000000"/>
          <w:sz w:val="24"/>
          <w:szCs w:val="24"/>
          <w:u w:color="000000"/>
          <w:rtl w:val="0"/>
          <w:lang w:val="en-US"/>
        </w:rPr>
        <w:t xml:space="preserve">. Accumulation of progerin occurs naturally over the lifespan. However in children with progeria this process is significantly faster. </w:t>
      </w:r>
    </w:p>
    <w:p>
      <w:pPr>
        <w:pStyle w:val="Normal.0"/>
        <w:spacing w:after="0" w:line="480" w:lineRule="auto"/>
        <w:jc w:val="both"/>
      </w:pPr>
      <w:r>
        <mc:AlternateContent>
          <mc:Choice Requires="wpg">
            <w:drawing>
              <wp:anchor distT="0" distB="0" distL="0" distR="0" simplePos="0" relativeHeight="251659264" behindDoc="0" locked="0" layoutInCell="1" allowOverlap="1">
                <wp:simplePos x="0" y="0"/>
                <wp:positionH relativeFrom="column">
                  <wp:posOffset>1077595</wp:posOffset>
                </wp:positionH>
                <wp:positionV relativeFrom="line">
                  <wp:posOffset>302259</wp:posOffset>
                </wp:positionV>
                <wp:extent cx="3788410" cy="1864361"/>
                <wp:effectExtent l="0" t="0" r="0" b="0"/>
                <wp:wrapSquare wrapText="largest" distL="0" distR="0" distT="0" distB="0"/>
                <wp:docPr id="1073741827" name="officeArt object"/>
                <wp:cNvGraphicFramePr/>
                <a:graphic xmlns:a="http://schemas.openxmlformats.org/drawingml/2006/main">
                  <a:graphicData uri="http://schemas.microsoft.com/office/word/2010/wordprocessingGroup">
                    <wpg:wgp>
                      <wpg:cNvGrpSpPr/>
                      <wpg:grpSpPr>
                        <a:xfrm>
                          <a:off x="0" y="0"/>
                          <a:ext cx="3788410" cy="1864361"/>
                          <a:chOff x="0" y="0"/>
                          <a:chExt cx="3788409" cy="1864360"/>
                        </a:xfrm>
                      </wpg:grpSpPr>
                      <wps:wsp>
                        <wps:cNvPr id="1073741825" name="Shape 1073741825"/>
                        <wps:cNvSpPr/>
                        <wps:spPr>
                          <a:xfrm>
                            <a:off x="0" y="0"/>
                            <a:ext cx="3788410" cy="1864361"/>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3788410" cy="1864361"/>
                          </a:xfrm>
                          <a:prstGeom prst="rect">
                            <a:avLst/>
                          </a:prstGeom>
                          <a:ln w="12700" cap="flat">
                            <a:noFill/>
                            <a:miter lim="400000"/>
                          </a:ln>
                          <a:effectLst/>
                        </pic:spPr>
                      </pic:pic>
                    </wpg:wgp>
                  </a:graphicData>
                </a:graphic>
              </wp:anchor>
            </w:drawing>
          </mc:Choice>
          <mc:Fallback>
            <w:pict>
              <v:group id="_x0000_s1026" style="visibility:visible;position:absolute;margin-left:84.9pt;margin-top:23.8pt;width:298.3pt;height:146.8pt;z-index:251659264;mso-position-horizontal:absolute;mso-position-horizontal-relative:text;mso-position-vertical:absolute;mso-position-vertical-relative:line;mso-wrap-distance-left:0.0pt;mso-wrap-distance-top:0.0pt;mso-wrap-distance-right:0.0pt;mso-wrap-distance-bottom:0.0pt;" coordorigin="0,0" coordsize="3788410,1864360">
                <w10:wrap type="square" side="largest" anchorx="text"/>
                <v:rect id="_x0000_s1027" style="position:absolute;left:0;top:0;width:3788410;height:186436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788410;height:1864360;">
                  <v:imagedata r:id="rId4" o:title="image.jpeg"/>
                </v:shape>
              </v:group>
            </w:pict>
          </mc:Fallback>
        </mc:AlternateContent>
      </w:r>
    </w:p>
    <w:p>
      <w:pPr>
        <w:pStyle w:val="Normal.0"/>
        <w:spacing w:after="0" w:line="480" w:lineRule="auto"/>
        <w:jc w:val="both"/>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Pr>
        <w:tab/>
      </w:r>
    </w:p>
    <w:p>
      <w:pPr>
        <w:pStyle w:val="Normal.0"/>
        <w:spacing w:after="0" w:line="480" w:lineRule="auto"/>
        <w:jc w:val="both"/>
        <w:rPr>
          <w:rFonts w:ascii="Times New Roman" w:cs="Times New Roman" w:hAnsi="Times New Roman" w:eastAsia="Times New Roman"/>
          <w:color w:val="000000"/>
          <w:sz w:val="24"/>
          <w:szCs w:val="24"/>
          <w:u w:color="000000"/>
        </w:rPr>
      </w:pPr>
    </w:p>
    <w:p>
      <w:pPr>
        <w:pStyle w:val="Normal.0"/>
        <w:spacing w:after="0" w:line="480" w:lineRule="auto"/>
        <w:jc w:val="both"/>
        <w:rPr>
          <w:rFonts w:ascii="Times New Roman" w:cs="Times New Roman" w:hAnsi="Times New Roman" w:eastAsia="Times New Roman"/>
          <w:color w:val="000000"/>
          <w:sz w:val="24"/>
          <w:szCs w:val="24"/>
          <w:u w:color="000000"/>
        </w:rPr>
      </w:pPr>
    </w:p>
    <w:p>
      <w:pPr>
        <w:pStyle w:val="Normal.0"/>
        <w:spacing w:after="0" w:line="480" w:lineRule="auto"/>
        <w:jc w:val="both"/>
      </w:pPr>
      <w:r>
        <w:rPr>
          <w:rFonts w:ascii="Times New Roman" w:cs="Times New Roman" w:hAnsi="Times New Roman" w:eastAsia="Times New Roman"/>
          <w:color w:val="000000"/>
          <w:sz w:val="24"/>
          <w:szCs w:val="24"/>
          <w:u w:color="000000"/>
        </w:rPr>
        <w:tab/>
      </w:r>
    </w:p>
    <w:p>
      <w:pPr>
        <w:pStyle w:val="Normal.0"/>
        <w:spacing w:after="0" w:line="480" w:lineRule="auto"/>
        <w:jc w:val="both"/>
      </w:pPr>
      <w:r>
        <w:rPr>
          <w:rFonts w:ascii="Times New Roman" w:cs="Times New Roman" w:hAnsi="Times New Roman" w:eastAsia="Times New Roman"/>
          <w:color w:val="000000"/>
          <w:sz w:val="24"/>
          <w:szCs w:val="24"/>
          <w:u w:color="000000"/>
        </w:rPr>
        <w:tab/>
        <w:tab/>
      </w:r>
    </w:p>
    <w:p>
      <w:pPr>
        <w:pStyle w:val="Normal.0"/>
        <w:spacing w:after="0" w:line="480" w:lineRule="auto"/>
        <w:jc w:val="both"/>
        <w:rPr>
          <w:rFonts w:ascii="Times New Roman" w:cs="Times New Roman" w:hAnsi="Times New Roman" w:eastAsia="Times New Roman"/>
          <w:color w:val="000000"/>
          <w:sz w:val="24"/>
          <w:szCs w:val="24"/>
          <w:u w:color="000000"/>
        </w:rPr>
      </w:pPr>
    </w:p>
    <w:p>
      <w:pPr>
        <w:pStyle w:val="Normal.0"/>
        <w:spacing w:after="0" w:line="480" w:lineRule="auto"/>
        <w:jc w:val="both"/>
      </w:pPr>
      <w:r>
        <w:rPr>
          <w:rFonts w:ascii="Times New Roman" w:cs="Times New Roman" w:hAnsi="Times New Roman" w:eastAsia="Times New Roman"/>
          <w:b w:val="1"/>
          <w:bCs w:val="1"/>
          <w:color w:val="000000"/>
          <w:sz w:val="24"/>
          <w:szCs w:val="24"/>
          <w:u w:color="000000"/>
          <w:rtl w:val="0"/>
        </w:rPr>
        <w:tab/>
        <w:t>Figure 1</w:t>
      </w:r>
      <w:r>
        <w:rPr>
          <w:rFonts w:ascii="Times New Roman" w:hAnsi="Times New Roman"/>
          <w:color w:val="000000"/>
          <w:sz w:val="24"/>
          <w:szCs w:val="24"/>
          <w:u w:color="000000"/>
          <w:rtl w:val="0"/>
          <w:lang w:val="en-US"/>
        </w:rPr>
        <w:t xml:space="preserve">. Normal cell nucleus opposing to Progeria cell's nucleus </w:t>
      </w:r>
      <w:r>
        <w:rPr>
          <w:rFonts w:ascii="Times New Roman" w:hAnsi="Times New Roman"/>
          <w:outline w:val="0"/>
          <w:color w:val="000000"/>
          <w:spacing w:val="0"/>
          <w:kern w:val="1"/>
          <w:sz w:val="24"/>
          <w:szCs w:val="24"/>
          <w:u w:color="000000"/>
          <w:rtl w:val="0"/>
          <w:lang w:val="en-US"/>
        </w:rPr>
        <w:t>(Salameh)</w:t>
      </w:r>
    </w:p>
    <w:p>
      <w:pPr>
        <w:pStyle w:val="Normal.0"/>
        <w:spacing w:after="0" w:line="480" w:lineRule="auto"/>
        <w:jc w:val="both"/>
      </w:pPr>
      <w:r>
        <w:rPr>
          <w:rFonts w:ascii="Times New Roman" w:hAnsi="Times New Roman"/>
          <w:b w:val="1"/>
          <w:bCs w:val="1"/>
          <w:color w:val="000000"/>
          <w:sz w:val="24"/>
          <w:szCs w:val="24"/>
          <w:u w:color="000000"/>
          <w:rtl w:val="0"/>
          <w:lang w:val="en-US"/>
        </w:rPr>
        <w:t>Treatment</w:t>
      </w:r>
    </w:p>
    <w:p>
      <w:pPr>
        <w:pStyle w:val="Normal.0"/>
        <w:numPr>
          <w:ilvl w:val="0"/>
          <w:numId w:val="12"/>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Currently, there is no effective treatment for progeria capable of causing a reemission. Treatment of manifestations is a primary type of care used to help the affected individuals. </w:t>
      </w:r>
    </w:p>
    <w:p>
      <w:pPr>
        <w:pStyle w:val="Normal.0"/>
        <w:numPr>
          <w:ilvl w:val="0"/>
          <w:numId w:val="12"/>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Dietary augmentations are often recommend to offset the abnormal lipid profile. Such medication as statin can be prescribed. </w:t>
      </w:r>
    </w:p>
    <w:p>
      <w:pPr>
        <w:pStyle w:val="Normal.0"/>
        <w:numPr>
          <w:ilvl w:val="0"/>
          <w:numId w:val="12"/>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Physical and occupational therapies are highly recommended to alleviate the low muscular index. Physical therapy is also the primary treatment for hip dislocation management. </w:t>
      </w:r>
    </w:p>
    <w:p>
      <w:pPr>
        <w:pStyle w:val="Normal.0"/>
        <w:numPr>
          <w:ilvl w:val="0"/>
          <w:numId w:val="12"/>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Patients suffering from congestive heart failure are prescribed with anti congestive therapy. In order to prevent possible secondary complications with cardiovascular system aspiring may be prescribed. </w:t>
      </w:r>
    </w:p>
    <w:p>
      <w:pPr>
        <w:pStyle w:val="Normal.0"/>
        <w:numPr>
          <w:ilvl w:val="0"/>
          <w:numId w:val="12"/>
        </w:numPr>
        <w:spacing w:after="0" w:line="480" w:lineRule="auto"/>
        <w:jc w:val="both"/>
        <w:rPr>
          <w:sz w:val="24"/>
          <w:szCs w:val="24"/>
          <w:lang w:val="en-US"/>
        </w:rPr>
      </w:pPr>
      <w:r>
        <w:rPr>
          <w:rFonts w:ascii="Times New Roman" w:hAnsi="Times New Roman"/>
          <w:color w:val="000000"/>
          <w:sz w:val="24"/>
          <w:szCs w:val="24"/>
          <w:u w:color="000000"/>
          <w:rtl w:val="0"/>
          <w:lang w:val="en-US"/>
        </w:rPr>
        <w:t xml:space="preserve">Ocular lubrication may be necessary in the case of exposure keratopathy resulting from nocturnal lagophthalmos. Other symptomatic treatments may be required depending on manifesting symptoms. </w:t>
      </w:r>
    </w:p>
    <w:p>
      <w:pPr>
        <w:pStyle w:val="Normal.0"/>
        <w:spacing w:after="0" w:line="480" w:lineRule="auto"/>
        <w:jc w:val="both"/>
      </w:pPr>
      <w:r>
        <w:rPr>
          <w:rFonts w:ascii="Times New Roman" w:hAnsi="Times New Roman"/>
          <w:b w:val="1"/>
          <w:bCs w:val="1"/>
          <w:color w:val="000000"/>
          <w:sz w:val="24"/>
          <w:szCs w:val="24"/>
          <w:u w:color="000000"/>
          <w:rtl w:val="0"/>
          <w:lang w:val="en-US"/>
        </w:rPr>
        <w:t>Current Research</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The Progeria Research Foundation is one of the leading organizations in studying the condition. In 2012 a breakthrough discovery was made when farnesyltransferase inhibitors were proven to be useful in treating progeria. Farnesyltransferase inhibitors (FTI) are the compounds that were used in cancer treatments but can also lead to cell restoration. During the initial trials FTI-277 demonstrated its ability to restore localization of nucleolar antigen in cells with progeria </w:t>
      </w:r>
      <w:r>
        <w:rPr>
          <w:rFonts w:ascii="Times New Roman" w:hAnsi="Times New Roman"/>
          <w:outline w:val="0"/>
          <w:color w:val="000000"/>
          <w:spacing w:val="0"/>
          <w:kern w:val="1"/>
          <w:sz w:val="24"/>
          <w:szCs w:val="24"/>
          <w:u w:color="000000"/>
          <w:rtl w:val="0"/>
          <w:lang w:val="en-US"/>
        </w:rPr>
        <w:t>(Mehta, Bridger &amp; Kill 287-291)</w:t>
      </w:r>
      <w:r>
        <w:rPr>
          <w:rFonts w:ascii="Times New Roman" w:hAnsi="Times New Roman"/>
          <w:color w:val="000000"/>
          <w:sz w:val="24"/>
          <w:szCs w:val="24"/>
          <w:u w:color="000000"/>
          <w:rtl w:val="0"/>
          <w:lang w:val="en-US"/>
        </w:rPr>
        <w:t>.</w:t>
      </w:r>
      <w:r>
        <w:rPr>
          <w:rFonts w:ascii="Times New Roman" w:hAnsi="Times New Roman"/>
          <w:b w:val="1"/>
          <w:bCs w:val="1"/>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Additionally, recent study have identified the correlation between progerin and telomeres. Telomerase normally prevents detrimental effects of progering while in patients with the syndrome telomeres are impaired resulting in proliferation of progerin-induced cellular defects </w:t>
      </w:r>
      <w:r>
        <w:rPr>
          <w:rFonts w:ascii="Times New Roman" w:hAnsi="Times New Roman"/>
          <w:outline w:val="0"/>
          <w:color w:val="000000"/>
          <w:spacing w:val="0"/>
          <w:kern w:val="1"/>
          <w:sz w:val="24"/>
          <w:szCs w:val="24"/>
          <w:u w:color="000000"/>
          <w:rtl w:val="0"/>
          <w:lang w:val="en-US"/>
        </w:rPr>
        <w:t>(Chojnowski et al.)</w:t>
      </w:r>
      <w:r>
        <w:rPr>
          <w:rFonts w:ascii="Times New Roman" w:hAnsi="Times New Roman"/>
          <w:color w:val="000000"/>
          <w:sz w:val="24"/>
          <w:szCs w:val="24"/>
          <w:u w:color="000000"/>
          <w:rtl w:val="0"/>
          <w:lang w:val="en-US"/>
        </w:rPr>
        <w:t xml:space="preserve">. </w:t>
      </w:r>
    </w:p>
    <w:p>
      <w:pPr>
        <w:pStyle w:val="Normal.0"/>
        <w:spacing w:after="0" w:line="480" w:lineRule="auto"/>
        <w:jc w:val="both"/>
      </w:pPr>
      <w:r>
        <w:rPr>
          <w:rFonts w:ascii="Times New Roman" w:hAnsi="Times New Roman"/>
          <w:b w:val="1"/>
          <w:bCs w:val="1"/>
          <w:color w:val="000000"/>
          <w:sz w:val="24"/>
          <w:szCs w:val="24"/>
          <w:u w:color="000000"/>
          <w:rtl w:val="0"/>
          <w:lang w:val="en-US"/>
        </w:rPr>
        <w:t>Conclusion</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Conclusively, progeria is a genetic disorder that results in build up of altered proteins leading to premature aging in children. It is a rare condition affecting only 1 in 4 million people. A range of symptoms caused by cellular ageing is present in affected individuals. Recent studies have delivered promising result for treatment of progeria. </w:t>
      </w:r>
    </w:p>
    <w:p>
      <w:pPr>
        <w:pStyle w:val="Normal.0"/>
        <w:spacing w:after="0" w:line="480" w:lineRule="auto"/>
        <w:jc w:val="both"/>
      </w:pPr>
      <w:r>
        <w:rPr>
          <w:rFonts w:ascii="Times New Roman" w:hAnsi="Times New Roman"/>
          <w:b w:val="1"/>
          <w:bCs w:val="1"/>
          <w:color w:val="000000"/>
          <w:sz w:val="24"/>
          <w:szCs w:val="24"/>
          <w:u w:color="000000"/>
          <w:rtl w:val="0"/>
          <w:lang w:val="en-US"/>
        </w:rPr>
        <w:t>Take-Home Messages:</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Progeria is a genetic while usually non-inheritable disease that causes premature physiological aging. </w:t>
      </w:r>
    </w:p>
    <w:p>
      <w:pPr>
        <w:pStyle w:val="Normal.0"/>
        <w:spacing w:after="0" w:line="480" w:lineRule="auto"/>
        <w:jc w:val="both"/>
      </w:pPr>
      <w:r>
        <w:rPr>
          <w:rFonts w:ascii="Times New Roman" w:cs="Times New Roman" w:hAnsi="Times New Roman" w:eastAsia="Times New Roman"/>
          <w:color w:val="000000"/>
          <w:sz w:val="24"/>
          <w:szCs w:val="24"/>
          <w:u w:color="000000"/>
          <w:rtl w:val="0"/>
        </w:rPr>
        <w:tab/>
        <w:t xml:space="preserve">Recent discoveries pave the way for potential treatment of progeria by elimination harmful effects of progerin. This discoveries can also lead to better understanding of causes of aging in general. </w:t>
      </w:r>
    </w:p>
    <w:p>
      <w:pPr>
        <w:pStyle w:val="Normal.0"/>
        <w:spacing w:after="0" w:line="480" w:lineRule="auto"/>
        <w:jc w:val="both"/>
        <w:rPr>
          <w:rFonts w:ascii="Times New Roman" w:cs="Times New Roman" w:hAnsi="Times New Roman" w:eastAsia="Times New Roman"/>
          <w:color w:val="000000"/>
          <w:sz w:val="24"/>
          <w:szCs w:val="24"/>
          <w:u w:color="000000"/>
        </w:rPr>
      </w:pPr>
    </w:p>
    <w:p>
      <w:pPr>
        <w:pStyle w:val="Normal.0"/>
        <w:pageBreakBefore w:val="1"/>
        <w:spacing w:after="0" w:line="480" w:lineRule="auto"/>
        <w:jc w:val="both"/>
      </w:pPr>
      <w:r>
        <w:rPr>
          <w:rFonts w:ascii="Times New Roman" w:hAnsi="Times New Roman"/>
          <w:outline w:val="0"/>
          <w:color w:val="000000"/>
          <w:spacing w:val="0"/>
          <w:kern w:val="1"/>
          <w:sz w:val="24"/>
          <w:szCs w:val="24"/>
          <w:u w:color="000000"/>
          <w:rtl w:val="0"/>
          <w:lang w:val="en-US"/>
        </w:rPr>
        <w:t>Works cited:</w:t>
      </w:r>
    </w:p>
    <w:p>
      <w:pPr>
        <w:pStyle w:val="Normal.0"/>
        <w:spacing w:after="0" w:line="480" w:lineRule="auto"/>
        <w:jc w:val="both"/>
      </w:pPr>
      <w:r>
        <w:rPr>
          <w:rFonts w:ascii="Times New Roman" w:hAnsi="Times New Roman"/>
          <w:outline w:val="0"/>
          <w:color w:val="000000"/>
          <w:spacing w:val="0"/>
          <w:kern w:val="1"/>
          <w:sz w:val="24"/>
          <w:szCs w:val="24"/>
          <w:u w:color="000000"/>
          <w:rtl w:val="0"/>
          <w:lang w:val="en-US"/>
        </w:rPr>
        <w:t xml:space="preserve">Broers, J. L. V. "Nuclear Lamins: Laminopathies And Their Role In Premature Ageing". </w:t>
        <w:tab/>
      </w:r>
      <w:r>
        <w:rPr>
          <w:rFonts w:ascii="Times New Roman" w:hAnsi="Times New Roman"/>
          <w:i w:val="1"/>
          <w:iCs w:val="1"/>
          <w:outline w:val="0"/>
          <w:color w:val="000000"/>
          <w:spacing w:val="0"/>
          <w:kern w:val="1"/>
          <w:sz w:val="24"/>
          <w:szCs w:val="24"/>
          <w:u w:color="000000"/>
          <w:rtl w:val="0"/>
          <w:lang w:val="en-US"/>
        </w:rPr>
        <w:t>Physiological Reviews</w:t>
      </w:r>
      <w:r>
        <w:rPr>
          <w:rFonts w:ascii="Times New Roman" w:hAnsi="Times New Roman"/>
          <w:outline w:val="0"/>
          <w:color w:val="000000"/>
          <w:spacing w:val="0"/>
          <w:kern w:val="1"/>
          <w:sz w:val="24"/>
          <w:szCs w:val="24"/>
          <w:u w:color="000000"/>
          <w:rtl w:val="0"/>
          <w:lang w:val="en-US"/>
        </w:rPr>
        <w:t xml:space="preserve"> 86.3 (2006): 967-1008. Web.</w:t>
      </w:r>
    </w:p>
    <w:p>
      <w:pPr>
        <w:pStyle w:val="Normal.0"/>
        <w:spacing w:after="0" w:line="480" w:lineRule="auto"/>
        <w:jc w:val="both"/>
      </w:pPr>
      <w:r>
        <w:rPr>
          <w:rFonts w:ascii="Times New Roman" w:hAnsi="Times New Roman"/>
          <w:outline w:val="0"/>
          <w:color w:val="000000"/>
          <w:spacing w:val="0"/>
          <w:kern w:val="1"/>
          <w:sz w:val="24"/>
          <w:szCs w:val="24"/>
          <w:u w:color="000000"/>
          <w:rtl w:val="0"/>
          <w:lang w:val="en-US"/>
        </w:rPr>
        <w:t>Chojnowski, Alexandre et al. "Progerin Reduces Lap2</w:t>
      </w:r>
      <w:r>
        <w:rPr>
          <w:rFonts w:ascii="Times New Roman" w:hAnsi="Times New Roman" w:hint="default"/>
          <w:outline w:val="0"/>
          <w:color w:val="000000"/>
          <w:spacing w:val="0"/>
          <w:kern w:val="1"/>
          <w:sz w:val="24"/>
          <w:szCs w:val="24"/>
          <w:u w:color="000000"/>
          <w:rtl w:val="0"/>
          <w:lang w:val="en-US"/>
        </w:rPr>
        <w:t>α</w:t>
      </w:r>
      <w:r>
        <w:rPr>
          <w:rFonts w:ascii="Times New Roman" w:hAnsi="Times New Roman"/>
          <w:outline w:val="0"/>
          <w:color w:val="000000"/>
          <w:spacing w:val="0"/>
          <w:kern w:val="1"/>
          <w:sz w:val="24"/>
          <w:szCs w:val="24"/>
          <w:u w:color="000000"/>
          <w:rtl w:val="0"/>
          <w:lang w:val="en-US"/>
        </w:rPr>
        <w:t>-Telomere Association In Hutchinson-</w:t>
        <w:tab/>
        <w:t xml:space="preserve">Gilford Progeria". </w:t>
      </w:r>
      <w:r>
        <w:rPr>
          <w:rFonts w:ascii="Times New Roman" w:hAnsi="Times New Roman"/>
          <w:i w:val="1"/>
          <w:iCs w:val="1"/>
          <w:outline w:val="0"/>
          <w:color w:val="000000"/>
          <w:spacing w:val="0"/>
          <w:kern w:val="1"/>
          <w:sz w:val="24"/>
          <w:szCs w:val="24"/>
          <w:u w:color="000000"/>
          <w:rtl w:val="0"/>
          <w:lang w:val="en-US"/>
        </w:rPr>
        <w:t>eLife</w:t>
      </w:r>
      <w:r>
        <w:rPr>
          <w:rFonts w:ascii="Times New Roman" w:hAnsi="Times New Roman"/>
          <w:outline w:val="0"/>
          <w:color w:val="000000"/>
          <w:spacing w:val="0"/>
          <w:kern w:val="1"/>
          <w:sz w:val="24"/>
          <w:szCs w:val="24"/>
          <w:u w:color="000000"/>
          <w:rtl w:val="0"/>
          <w:lang w:val="en-US"/>
        </w:rPr>
        <w:t xml:space="preserve"> 4 (2015): n. pag. Web.</w:t>
      </w:r>
    </w:p>
    <w:p>
      <w:pPr>
        <w:pStyle w:val="Normal.0"/>
        <w:spacing w:after="0" w:line="480" w:lineRule="auto"/>
      </w:pPr>
      <w:r>
        <w:rPr>
          <w:rFonts w:ascii="Times New Roman" w:hAnsi="Times New Roman"/>
          <w:outline w:val="0"/>
          <w:color w:val="000000"/>
          <w:spacing w:val="0"/>
          <w:kern w:val="1"/>
          <w:sz w:val="24"/>
          <w:szCs w:val="24"/>
          <w:u w:color="000000"/>
          <w:rtl w:val="0"/>
          <w:lang w:val="en-US"/>
        </w:rPr>
        <w:t>Eriksson, Maria et al. "Recurrent De Novo Point Mutations In Lamin A Cause Hutchinson</w:t>
      </w:r>
      <w:r>
        <w:rPr>
          <w:rFonts w:ascii="Times New Roman" w:hAnsi="Times New Roman" w:hint="default"/>
          <w:outline w:val="0"/>
          <w:color w:val="000000"/>
          <w:spacing w:val="0"/>
          <w:kern w:val="1"/>
          <w:sz w:val="24"/>
          <w:szCs w:val="24"/>
          <w:u w:color="000000"/>
          <w:rtl w:val="0"/>
          <w:lang w:val="en-US"/>
        </w:rPr>
        <w:t>–</w:t>
        <w:tab/>
      </w:r>
      <w:r>
        <w:rPr>
          <w:rFonts w:ascii="Times New Roman" w:hAnsi="Times New Roman"/>
          <w:outline w:val="0"/>
          <w:color w:val="000000"/>
          <w:spacing w:val="0"/>
          <w:kern w:val="1"/>
          <w:sz w:val="24"/>
          <w:szCs w:val="24"/>
          <w:u w:color="000000"/>
          <w:rtl w:val="0"/>
          <w:lang w:val="en-US"/>
        </w:rPr>
        <w:t xml:space="preserve">Gilford Progeria Syndrome". </w:t>
      </w:r>
      <w:r>
        <w:rPr>
          <w:rFonts w:ascii="Times New Roman" w:hAnsi="Times New Roman"/>
          <w:i w:val="1"/>
          <w:iCs w:val="1"/>
          <w:outline w:val="0"/>
          <w:color w:val="000000"/>
          <w:spacing w:val="0"/>
          <w:kern w:val="1"/>
          <w:sz w:val="24"/>
          <w:szCs w:val="24"/>
          <w:u w:color="000000"/>
          <w:rtl w:val="0"/>
          <w:lang w:val="en-US"/>
        </w:rPr>
        <w:t>Nature</w:t>
      </w:r>
      <w:r>
        <w:rPr>
          <w:rFonts w:ascii="Times New Roman" w:hAnsi="Times New Roman"/>
          <w:outline w:val="0"/>
          <w:color w:val="000000"/>
          <w:spacing w:val="0"/>
          <w:kern w:val="1"/>
          <w:sz w:val="24"/>
          <w:szCs w:val="24"/>
          <w:u w:color="000000"/>
          <w:rtl w:val="0"/>
          <w:lang w:val="en-US"/>
        </w:rPr>
        <w:t xml:space="preserve"> 423.6937 (2003): 293-298. Web.</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Ghosh, Shrestha and Zhongjun Zhou. "Genetics Of Aging, Progeria And Lamin Disorders". </w:t>
        <w:tab/>
      </w:r>
      <w:r>
        <w:rPr>
          <w:rFonts w:ascii="Times New Roman" w:hAnsi="Times New Roman"/>
          <w:i w:val="1"/>
          <w:iCs w:val="1"/>
          <w:outline w:val="0"/>
          <w:color w:val="000000"/>
          <w:spacing w:val="0"/>
          <w:kern w:val="1"/>
          <w:sz w:val="24"/>
          <w:szCs w:val="24"/>
          <w:u w:color="000000"/>
          <w:rtl w:val="0"/>
          <w:lang w:val="en-US"/>
        </w:rPr>
        <w:t>Current Opinion in Genetics &amp; Development</w:t>
      </w:r>
      <w:r>
        <w:rPr>
          <w:rFonts w:ascii="Times New Roman" w:hAnsi="Times New Roman"/>
          <w:outline w:val="0"/>
          <w:color w:val="000000"/>
          <w:spacing w:val="0"/>
          <w:kern w:val="1"/>
          <w:sz w:val="24"/>
          <w:szCs w:val="24"/>
          <w:u w:color="000000"/>
          <w:rtl w:val="0"/>
          <w:lang w:val="en-US"/>
        </w:rPr>
        <w:t xml:space="preserve"> 26 (2014): 41-46. Web. 14 Aug. 2016.</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Gordon, Leslie, W Brown, and Francis Collins. "Hutchinson-Gilford Progeria Syndrome". </w:t>
        <w:tab/>
      </w:r>
      <w:r>
        <w:rPr>
          <w:rFonts w:ascii="Times New Roman" w:hAnsi="Times New Roman"/>
          <w:i w:val="1"/>
          <w:iCs w:val="1"/>
          <w:outline w:val="0"/>
          <w:color w:val="000000"/>
          <w:spacing w:val="0"/>
          <w:kern w:val="1"/>
          <w:sz w:val="24"/>
          <w:szCs w:val="24"/>
          <w:u w:color="000000"/>
          <w:rtl w:val="0"/>
          <w:lang w:val="en-US"/>
        </w:rPr>
        <w:t>University of Washington, Seattle</w:t>
      </w:r>
      <w:r>
        <w:rPr>
          <w:rFonts w:ascii="Times New Roman" w:hAnsi="Times New Roman"/>
          <w:outline w:val="0"/>
          <w:color w:val="000000"/>
          <w:spacing w:val="0"/>
          <w:kern w:val="1"/>
          <w:sz w:val="24"/>
          <w:szCs w:val="24"/>
          <w:u w:color="000000"/>
          <w:rtl w:val="0"/>
          <w:lang w:val="en-US"/>
        </w:rPr>
        <w:t xml:space="preserve"> (2015): n. pag. Web. 14 Aug. 2016.</w:t>
      </w:r>
    </w:p>
    <w:p>
      <w:pPr>
        <w:pStyle w:val="Normal.0"/>
        <w:spacing w:after="0" w:line="480" w:lineRule="auto"/>
      </w:pPr>
      <w:r>
        <w:rPr>
          <w:rFonts w:ascii="Times New Roman" w:hAnsi="Times New Roman"/>
          <w:outline w:val="0"/>
          <w:color w:val="000000"/>
          <w:spacing w:val="0"/>
          <w:kern w:val="1"/>
          <w:sz w:val="24"/>
          <w:szCs w:val="24"/>
          <w:u w:color="000000"/>
          <w:rtl w:val="0"/>
          <w:lang w:val="en-US"/>
        </w:rPr>
        <w:t>Mehta, Ishita</w:t>
      </w:r>
      <w:r>
        <w:rPr>
          <w:rFonts w:ascii="Times New Roman" w:hAnsi="Times New Roman" w:hint="default"/>
          <w:outline w:val="0"/>
          <w:color w:val="000000"/>
          <w:spacing w:val="0"/>
          <w:kern w:val="1"/>
          <w:sz w:val="24"/>
          <w:szCs w:val="24"/>
          <w:u w:color="000000"/>
          <w:rtl w:val="0"/>
          <w:lang w:val="en-US"/>
        </w:rPr>
        <w:t> </w:t>
      </w:r>
      <w:r>
        <w:rPr>
          <w:rFonts w:ascii="Times New Roman" w:hAnsi="Times New Roman"/>
          <w:outline w:val="0"/>
          <w:color w:val="000000"/>
          <w:spacing w:val="0"/>
          <w:kern w:val="1"/>
          <w:sz w:val="24"/>
          <w:szCs w:val="24"/>
          <w:u w:color="000000"/>
          <w:rtl w:val="0"/>
          <w:lang w:val="en-US"/>
        </w:rPr>
        <w:t>S., Joanna</w:t>
      </w:r>
      <w:r>
        <w:rPr>
          <w:rFonts w:ascii="Times New Roman" w:hAnsi="Times New Roman" w:hint="default"/>
          <w:outline w:val="0"/>
          <w:color w:val="000000"/>
          <w:spacing w:val="0"/>
          <w:kern w:val="1"/>
          <w:sz w:val="24"/>
          <w:szCs w:val="24"/>
          <w:u w:color="000000"/>
          <w:rtl w:val="0"/>
          <w:lang w:val="en-US"/>
        </w:rPr>
        <w:t> </w:t>
      </w:r>
      <w:r>
        <w:rPr>
          <w:rFonts w:ascii="Times New Roman" w:hAnsi="Times New Roman"/>
          <w:outline w:val="0"/>
          <w:color w:val="000000"/>
          <w:spacing w:val="0"/>
          <w:kern w:val="1"/>
          <w:sz w:val="24"/>
          <w:szCs w:val="24"/>
          <w:u w:color="000000"/>
          <w:rtl w:val="0"/>
          <w:lang w:val="en-US"/>
        </w:rPr>
        <w:t>M. Bridger, and Ian</w:t>
      </w:r>
      <w:r>
        <w:rPr>
          <w:rFonts w:ascii="Times New Roman" w:hAnsi="Times New Roman" w:hint="default"/>
          <w:outline w:val="0"/>
          <w:color w:val="000000"/>
          <w:spacing w:val="0"/>
          <w:kern w:val="1"/>
          <w:sz w:val="24"/>
          <w:szCs w:val="24"/>
          <w:u w:color="000000"/>
          <w:rtl w:val="0"/>
          <w:lang w:val="en-US"/>
        </w:rPr>
        <w:t> </w:t>
      </w:r>
      <w:r>
        <w:rPr>
          <w:rFonts w:ascii="Times New Roman" w:hAnsi="Times New Roman"/>
          <w:outline w:val="0"/>
          <w:color w:val="000000"/>
          <w:spacing w:val="0"/>
          <w:kern w:val="1"/>
          <w:sz w:val="24"/>
          <w:szCs w:val="24"/>
          <w:u w:color="000000"/>
          <w:rtl w:val="0"/>
          <w:lang w:val="en-US"/>
        </w:rPr>
        <w:t xml:space="preserve">R. Kill. "Progeria, The Nucleolus And </w:t>
        <w:tab/>
        <w:t xml:space="preserve">Farnesyltransferase Inhibitors". </w:t>
      </w:r>
      <w:r>
        <w:rPr>
          <w:rFonts w:ascii="Times New Roman" w:hAnsi="Times New Roman"/>
          <w:i w:val="1"/>
          <w:iCs w:val="1"/>
          <w:outline w:val="0"/>
          <w:color w:val="000000"/>
          <w:spacing w:val="0"/>
          <w:kern w:val="1"/>
          <w:sz w:val="24"/>
          <w:szCs w:val="24"/>
          <w:u w:color="000000"/>
          <w:rtl w:val="0"/>
          <w:lang w:val="en-US"/>
        </w:rPr>
        <w:t>Biochm. Soc. Trans.</w:t>
      </w:r>
      <w:r>
        <w:rPr>
          <w:rFonts w:ascii="Times New Roman" w:hAnsi="Times New Roman"/>
          <w:outline w:val="0"/>
          <w:color w:val="000000"/>
          <w:spacing w:val="0"/>
          <w:kern w:val="1"/>
          <w:sz w:val="24"/>
          <w:szCs w:val="24"/>
          <w:u w:color="000000"/>
          <w:rtl w:val="0"/>
          <w:lang w:val="en-US"/>
        </w:rPr>
        <w:t xml:space="preserve"> 38.1 (2010): 287-291. Web.</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Pollex, RL and RA Hegele. "Hutchinson-Gilford Progeria Syndrome". </w:t>
      </w:r>
      <w:r>
        <w:rPr>
          <w:rFonts w:ascii="Times New Roman" w:hAnsi="Times New Roman"/>
          <w:i w:val="1"/>
          <w:iCs w:val="1"/>
          <w:outline w:val="0"/>
          <w:color w:val="000000"/>
          <w:spacing w:val="0"/>
          <w:kern w:val="1"/>
          <w:sz w:val="24"/>
          <w:szCs w:val="24"/>
          <w:u w:color="000000"/>
          <w:rtl w:val="0"/>
          <w:lang w:val="en-US"/>
        </w:rPr>
        <w:t>Clinical Genetics</w:t>
      </w:r>
      <w:r>
        <w:rPr>
          <w:rFonts w:ascii="Times New Roman" w:hAnsi="Times New Roman"/>
          <w:outline w:val="0"/>
          <w:color w:val="000000"/>
          <w:spacing w:val="0"/>
          <w:kern w:val="1"/>
          <w:sz w:val="24"/>
          <w:szCs w:val="24"/>
          <w:u w:color="000000"/>
          <w:rtl w:val="0"/>
          <w:lang w:val="en-US"/>
        </w:rPr>
        <w:t xml:space="preserve"> 66.5 </w:t>
        <w:tab/>
        <w:t>(2004): 375-381. Web.</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"Progeria Research Foundation | Progeria 101/FAQ". </w:t>
      </w:r>
      <w:r>
        <w:rPr>
          <w:rFonts w:ascii="Times New Roman" w:hAnsi="Times New Roman"/>
          <w:i w:val="1"/>
          <w:iCs w:val="1"/>
          <w:outline w:val="0"/>
          <w:color w:val="000000"/>
          <w:spacing w:val="0"/>
          <w:kern w:val="1"/>
          <w:sz w:val="24"/>
          <w:szCs w:val="24"/>
          <w:u w:color="000000"/>
          <w:rtl w:val="0"/>
          <w:lang w:val="en-US"/>
        </w:rPr>
        <w:t>Progeriaresearch.org</w:t>
      </w:r>
      <w:r>
        <w:rPr>
          <w:rFonts w:ascii="Times New Roman" w:hAnsi="Times New Roman"/>
          <w:outline w:val="0"/>
          <w:color w:val="000000"/>
          <w:spacing w:val="0"/>
          <w:kern w:val="1"/>
          <w:sz w:val="24"/>
          <w:szCs w:val="24"/>
          <w:u w:color="000000"/>
          <w:rtl w:val="0"/>
          <w:lang w:val="en-US"/>
        </w:rPr>
        <w:t xml:space="preserve">. N.p., 2016. Web. 14 </w:t>
        <w:tab/>
        <w:t>Aug. 2016.</w:t>
      </w:r>
    </w:p>
    <w:p>
      <w:pPr>
        <w:pStyle w:val="Normal.0"/>
        <w:spacing w:after="0" w:line="480" w:lineRule="auto"/>
      </w:pPr>
      <w:r>
        <w:rPr>
          <w:rFonts w:ascii="Times New Roman" w:hAnsi="Times New Roman"/>
          <w:outline w:val="0"/>
          <w:color w:val="000000"/>
          <w:spacing w:val="0"/>
          <w:kern w:val="1"/>
          <w:sz w:val="24"/>
          <w:szCs w:val="24"/>
          <w:u w:color="000000"/>
          <w:rtl w:val="0"/>
          <w:lang w:val="en-US"/>
        </w:rPr>
        <w:t xml:space="preserve">Salameh, Karam. "Progeria | SHOTIME 2016". </w:t>
      </w:r>
      <w:r>
        <w:rPr>
          <w:rFonts w:ascii="Times New Roman" w:hAnsi="Times New Roman"/>
          <w:i w:val="1"/>
          <w:iCs w:val="1"/>
          <w:outline w:val="0"/>
          <w:color w:val="000000"/>
          <w:spacing w:val="0"/>
          <w:kern w:val="1"/>
          <w:sz w:val="24"/>
          <w:szCs w:val="24"/>
          <w:u w:color="000000"/>
          <w:rtl w:val="0"/>
          <w:lang w:val="en-US"/>
        </w:rPr>
        <w:t>Sites.psu.edu</w:t>
      </w:r>
      <w:r>
        <w:rPr>
          <w:rFonts w:ascii="Times New Roman" w:hAnsi="Times New Roman"/>
          <w:outline w:val="0"/>
          <w:color w:val="000000"/>
          <w:spacing w:val="0"/>
          <w:kern w:val="1"/>
          <w:sz w:val="24"/>
          <w:szCs w:val="24"/>
          <w:u w:color="000000"/>
          <w:rtl w:val="0"/>
          <w:lang w:val="en-US"/>
        </w:rPr>
        <w:t>. N.p., 2015. Web. 14 Aug. 2016.</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lang w:val="en-US"/>
      </w:rPr>
      <w:t xml:space="preserve">Last name: </w:t>
    </w:r>
    <w:r>
      <w:rPr/>
      <w:fldChar w:fldCharType="begin" w:fldLock="0"/>
    </w:r>
    <w:r>
      <w:instrText xml:space="preserve"> PAGE </w:instrText>
    </w:r>
    <w:r>
      <w:rPr/>
      <w:fldChar w:fldCharType="separate" w:fldLock="0"/>
    </w:r>
    <w:r>
      <w:t>6</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144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44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44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144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44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44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144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44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144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44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44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144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44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44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144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44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144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44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44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144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44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44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144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44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144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144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44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44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144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44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44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144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44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440"/>
        </w:tabs>
        <w:ind w:left="14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144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144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144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144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144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1440"/>
        </w:tabs>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144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144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